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Grease‑Trap Cleaning Standard Operating Procedure (SOP)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Version:</w:t>
      </w:r>
      <w:r w:rsidDel="00000000" w:rsidR="00000000" w:rsidRPr="00000000">
        <w:rPr>
          <w:rtl w:val="0"/>
        </w:rPr>
        <w:t xml:space="preserve"> ____   </w:t>
      </w:r>
      <w:r w:rsidDel="00000000" w:rsidR="00000000" w:rsidRPr="00000000">
        <w:rPr>
          <w:i w:val="1"/>
          <w:rtl w:val="0"/>
        </w:rPr>
        <w:t xml:space="preserve">Effective Date: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vcxn3d8li8g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  Purpose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Ensure the grease trap is safely pumped, cleaned, and resealed on schedule to prevent sewer blockages, odors, and regulatory fines.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5f38pnza6l3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  Scope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Applies to all kitchen staff and any licensed hauler working at </w:t>
      </w:r>
      <w:r w:rsidDel="00000000" w:rsidR="00000000" w:rsidRPr="00000000">
        <w:rPr>
          <w:b w:val="1"/>
          <w:rtl w:val="0"/>
        </w:rPr>
        <w:t xml:space="preserve">[Facility Name]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dkb4vno5yau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  Responsibilities</w:t>
      </w:r>
    </w:p>
    <w:tbl>
      <w:tblPr>
        <w:tblStyle w:val="Table1"/>
        <w:tblW w:w="92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60"/>
        <w:gridCol w:w="6860"/>
        <w:tblGridChange w:id="0">
          <w:tblGrid>
            <w:gridCol w:w="2360"/>
            <w:gridCol w:w="68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BOH Manager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Schedule hauler, unlock utility room, sign manifest, upload PDF.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Line Cook (Day Shift)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Wipe lid daily, flag leaks or odors to manager.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Licensed Hauler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Pump contents, scrape walls/baffles, reseal lid, provide digital manifest.</w:t>
            </w:r>
          </w:p>
        </w:tc>
      </w:tr>
    </w:tbl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or6gaoxt0r2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  Procedure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A. Pre‑Pump (Lock‑out/Tag‑out)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Turn off adjacent fryers and close gas line.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Post “Out of Service” tag on trap lid.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Place absorbent pads around the lid.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B. Pump‑Out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Hauler removes lid and vacuums liquid &amp; solids.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Scrape walls, baffles, and cover to bare metal.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Inspect gasket; replace if cracked.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C. Post‑Pump &amp; Sanitize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Add 2 gal clean water; verify flow.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Spray lid and surrounding floor with sanitizer (200 ppm).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Remove pads; dispose in yellow bin.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D. Documentation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Hauler emails manifest; BOH Manager signs digital copy.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Upload PDF + two lid photos to Grease Connections Dashboard within 24 h.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ak4uwyrct4j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  Records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Digital manifests – retain 3 years.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Photo log (before/after) – retain 12 months.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rh85kh6cro5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  References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County FOG Ordinance § ____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[Your state]  Plumbing Code [add code here]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